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97" w:rsidRPr="00A21301" w:rsidRDefault="00D14397" w:rsidP="00D14397">
      <w:pPr>
        <w:jc w:val="center"/>
        <w:rPr>
          <w:rFonts w:ascii="Candara" w:hAnsi="Candara"/>
          <w:b/>
          <w:sz w:val="24"/>
          <w:szCs w:val="24"/>
        </w:rPr>
      </w:pPr>
      <w:bookmarkStart w:id="0" w:name="_GoBack"/>
      <w:bookmarkEnd w:id="0"/>
      <w:r w:rsidRPr="00A21301">
        <w:rPr>
          <w:rFonts w:ascii="Candara" w:hAnsi="Candara"/>
          <w:b/>
          <w:sz w:val="24"/>
          <w:szCs w:val="24"/>
        </w:rPr>
        <w:t xml:space="preserve">Old Forge Library </w:t>
      </w:r>
    </w:p>
    <w:p w:rsidR="00D14397" w:rsidRPr="00A21301" w:rsidRDefault="00D14397" w:rsidP="00D14397">
      <w:pPr>
        <w:jc w:val="center"/>
        <w:rPr>
          <w:rFonts w:ascii="Candara" w:hAnsi="Candara"/>
          <w:b/>
          <w:sz w:val="24"/>
          <w:szCs w:val="24"/>
        </w:rPr>
      </w:pPr>
      <w:r w:rsidRPr="00A21301">
        <w:rPr>
          <w:rFonts w:ascii="Candara" w:hAnsi="Candara"/>
          <w:b/>
          <w:sz w:val="24"/>
          <w:szCs w:val="24"/>
        </w:rPr>
        <w:t>Conflict of Interest Policy</w:t>
      </w:r>
    </w:p>
    <w:p w:rsidR="00A21301" w:rsidRDefault="00A21301" w:rsidP="00D14397">
      <w:pPr>
        <w:rPr>
          <w:rFonts w:ascii="Candara" w:hAnsi="Candara"/>
          <w:sz w:val="20"/>
          <w:szCs w:val="20"/>
        </w:rPr>
      </w:pPr>
    </w:p>
    <w:p w:rsidR="00D14397" w:rsidRPr="00A21301" w:rsidRDefault="00D14397" w:rsidP="00D14397">
      <w:pPr>
        <w:rPr>
          <w:rFonts w:ascii="Candara" w:hAnsi="Candara"/>
          <w:sz w:val="20"/>
          <w:szCs w:val="20"/>
        </w:rPr>
      </w:pPr>
      <w:r w:rsidRPr="00A21301">
        <w:rPr>
          <w:rFonts w:ascii="Candara" w:hAnsi="Candara"/>
          <w:sz w:val="20"/>
          <w:szCs w:val="20"/>
        </w:rPr>
        <w:t>Eligibility: All employees and trustees as required by law.</w:t>
      </w:r>
    </w:p>
    <w:p w:rsidR="00D14397" w:rsidRPr="00A21301" w:rsidRDefault="00D14397" w:rsidP="00D14397">
      <w:pPr>
        <w:rPr>
          <w:rFonts w:ascii="Candara" w:hAnsi="Candara"/>
          <w:sz w:val="20"/>
          <w:szCs w:val="20"/>
        </w:rPr>
      </w:pPr>
      <w:r w:rsidRPr="00A21301">
        <w:rPr>
          <w:rFonts w:ascii="Candara" w:hAnsi="Candara"/>
          <w:sz w:val="20"/>
          <w:szCs w:val="20"/>
        </w:rPr>
        <w:t>The term “conflict of interest” describes a situation in which a board member or employee is in a position to realize substantial personal benefit from a decision he or she may make on behalf of the Old Forge Library through the exercise of official authority, or in the disposing of public funds.</w:t>
      </w:r>
    </w:p>
    <w:p w:rsidR="00D14397" w:rsidRPr="00A21301" w:rsidRDefault="00D14397" w:rsidP="00D14397">
      <w:pPr>
        <w:rPr>
          <w:rFonts w:ascii="Candara" w:hAnsi="Candara"/>
          <w:sz w:val="20"/>
          <w:szCs w:val="20"/>
        </w:rPr>
      </w:pPr>
      <w:r w:rsidRPr="00A21301">
        <w:rPr>
          <w:rFonts w:ascii="Candara" w:hAnsi="Candara"/>
          <w:sz w:val="20"/>
          <w:szCs w:val="20"/>
        </w:rPr>
        <w:t>The following guidelines apply:</w:t>
      </w:r>
    </w:p>
    <w:p w:rsidR="00D14397" w:rsidRPr="00A21301" w:rsidRDefault="00D14397" w:rsidP="00D14397">
      <w:pPr>
        <w:pStyle w:val="ListParagraph"/>
        <w:numPr>
          <w:ilvl w:val="0"/>
          <w:numId w:val="1"/>
        </w:numPr>
        <w:rPr>
          <w:rFonts w:ascii="Candara" w:hAnsi="Candara"/>
          <w:sz w:val="20"/>
          <w:szCs w:val="20"/>
        </w:rPr>
      </w:pPr>
      <w:r w:rsidRPr="00A21301">
        <w:rPr>
          <w:rFonts w:ascii="Candara" w:hAnsi="Candara"/>
          <w:sz w:val="20"/>
          <w:szCs w:val="20"/>
        </w:rPr>
        <w:t>The Board or its members shall not knowingly or willfully enter into a contract in which they have a prohibitive interest.  In such a case, the contract is null, void and unenforceable.  If the law is willfully violated by the act of entering into a prohibited contract or by failing, when required, to disclose an interest, the party in question may be guilty of a misdemeanor.</w:t>
      </w:r>
    </w:p>
    <w:p w:rsidR="00D14397" w:rsidRPr="00A21301" w:rsidRDefault="00D14397" w:rsidP="00D14397">
      <w:pPr>
        <w:pStyle w:val="ListParagraph"/>
        <w:numPr>
          <w:ilvl w:val="0"/>
          <w:numId w:val="1"/>
        </w:numPr>
        <w:rPr>
          <w:rFonts w:ascii="Candara" w:hAnsi="Candara"/>
          <w:sz w:val="20"/>
          <w:szCs w:val="20"/>
        </w:rPr>
      </w:pPr>
      <w:r w:rsidRPr="00A21301">
        <w:rPr>
          <w:rFonts w:ascii="Candara" w:hAnsi="Candara"/>
          <w:sz w:val="20"/>
          <w:szCs w:val="20"/>
        </w:rPr>
        <w:t>No person who is related by blood or marriage to any member of the Board shall be employed by the Board except upon the consent of 2/3 of the members of the Board with the roll call vote entered in the minutes.</w:t>
      </w:r>
    </w:p>
    <w:p w:rsidR="00D14397" w:rsidRPr="00A21301" w:rsidRDefault="00D14397" w:rsidP="00D14397">
      <w:pPr>
        <w:pStyle w:val="ListParagraph"/>
        <w:numPr>
          <w:ilvl w:val="0"/>
          <w:numId w:val="1"/>
        </w:numPr>
        <w:rPr>
          <w:rFonts w:ascii="Candara" w:hAnsi="Candara"/>
          <w:sz w:val="20"/>
          <w:szCs w:val="20"/>
        </w:rPr>
      </w:pPr>
      <w:r w:rsidRPr="00A21301">
        <w:rPr>
          <w:rFonts w:ascii="Candara" w:hAnsi="Candara"/>
          <w:sz w:val="20"/>
          <w:szCs w:val="20"/>
        </w:rPr>
        <w:t>Members of the Board will conduct themselves with the standards of conduct reasonably set before them with respect to (</w:t>
      </w:r>
      <w:proofErr w:type="spellStart"/>
      <w:r w:rsidRPr="00A21301">
        <w:rPr>
          <w:rFonts w:ascii="Candara" w:hAnsi="Candara"/>
          <w:sz w:val="20"/>
          <w:szCs w:val="20"/>
        </w:rPr>
        <w:t>i</w:t>
      </w:r>
      <w:proofErr w:type="spellEnd"/>
      <w:r w:rsidRPr="00A21301">
        <w:rPr>
          <w:rFonts w:ascii="Candara" w:hAnsi="Candara"/>
          <w:sz w:val="20"/>
          <w:szCs w:val="20"/>
        </w:rPr>
        <w:t>) disclosure of interest in pending government legislation, (ii) acceptance of gifts or favors, (iii) disclosure of confidential information including, but not limited to, disclosing or using such information to further their personal interests or the interest of any agencies or organizations of which they or a relative by blood or marriage are officers, members, or employees, and (iv) incompatible employment under the law, and (v) future employment.</w:t>
      </w:r>
    </w:p>
    <w:p w:rsidR="00D14397" w:rsidRPr="00A21301" w:rsidRDefault="00D14397" w:rsidP="00D14397">
      <w:pPr>
        <w:pStyle w:val="ListParagraph"/>
        <w:numPr>
          <w:ilvl w:val="0"/>
          <w:numId w:val="1"/>
        </w:numPr>
        <w:rPr>
          <w:rFonts w:ascii="Candara" w:hAnsi="Candara"/>
          <w:sz w:val="20"/>
          <w:szCs w:val="20"/>
        </w:rPr>
      </w:pPr>
      <w:r w:rsidRPr="00A21301">
        <w:rPr>
          <w:rFonts w:ascii="Candara" w:hAnsi="Candara"/>
          <w:sz w:val="20"/>
          <w:szCs w:val="20"/>
        </w:rPr>
        <w:t>Members of the Board and the Old Forge Library management shall disclose their potential conflicts of interests annually between the January and March meetings, using the forms supplied by the Library.  The Finance/Audit Committee will review the disclosure forms annually.  If formal action is necessary as a result of the review, the Finance/Audit Committee will present a recommended action to the Board of Trustees.  The completed forms will be kept on hand for seven years in the Old Forge Library archives.</w:t>
      </w:r>
    </w:p>
    <w:p w:rsidR="00D14397" w:rsidRPr="00A21301" w:rsidRDefault="00D14397" w:rsidP="00D14397">
      <w:pPr>
        <w:pStyle w:val="ListParagraph"/>
        <w:numPr>
          <w:ilvl w:val="0"/>
          <w:numId w:val="1"/>
        </w:numPr>
        <w:rPr>
          <w:rFonts w:ascii="Candara" w:hAnsi="Candara"/>
          <w:sz w:val="20"/>
          <w:szCs w:val="20"/>
        </w:rPr>
      </w:pPr>
      <w:r w:rsidRPr="00A21301">
        <w:rPr>
          <w:rFonts w:ascii="Candara" w:hAnsi="Candara"/>
          <w:sz w:val="20"/>
          <w:szCs w:val="20"/>
        </w:rPr>
        <w:t>During any discussion of the Board or of its committees where it is noted that the subject of discussion is a contract, transaction or situation in which it is determined that a member may have a perceived or actual conflict of interest, the President shall request that the member leave the room for the duration of the discussion.  However the member may be present to provide clarifying information in such a discussion unless objected to by any present Board member.</w:t>
      </w:r>
      <w:r w:rsidR="00A21301" w:rsidRPr="00A21301">
        <w:rPr>
          <w:rFonts w:ascii="Candara" w:hAnsi="Candara"/>
          <w:sz w:val="20"/>
          <w:szCs w:val="20"/>
        </w:rPr>
        <w:t xml:space="preserve">  The member identified as having a potential conflict may not vote on any related action taken by the Board or committee.</w:t>
      </w:r>
    </w:p>
    <w:p w:rsidR="00A21301" w:rsidRPr="00A21301" w:rsidRDefault="00A21301" w:rsidP="00A21301">
      <w:pPr>
        <w:rPr>
          <w:rFonts w:ascii="Candara" w:hAnsi="Candara"/>
          <w:sz w:val="20"/>
          <w:szCs w:val="20"/>
        </w:rPr>
      </w:pPr>
    </w:p>
    <w:p w:rsidR="00A21301" w:rsidRDefault="00A21301" w:rsidP="00A21301">
      <w:pPr>
        <w:rPr>
          <w:rFonts w:ascii="Candara" w:hAnsi="Candara"/>
          <w:sz w:val="20"/>
          <w:szCs w:val="20"/>
        </w:rPr>
      </w:pPr>
      <w:r w:rsidRPr="00A21301">
        <w:rPr>
          <w:rFonts w:ascii="Candara" w:hAnsi="Candara"/>
          <w:sz w:val="20"/>
          <w:szCs w:val="20"/>
        </w:rPr>
        <w:t>Any breach of conduct in the aforementioned area may result in removal from the Board.  Any action regarding misconduct will be made in executive session after a full hearing by the majority vote of the full Board.</w:t>
      </w:r>
    </w:p>
    <w:p w:rsidR="00A21301" w:rsidRDefault="00A21301" w:rsidP="00A21301">
      <w:pPr>
        <w:rPr>
          <w:rFonts w:ascii="Candara" w:hAnsi="Candara"/>
          <w:sz w:val="20"/>
          <w:szCs w:val="20"/>
        </w:rPr>
      </w:pPr>
    </w:p>
    <w:p w:rsidR="00814B67" w:rsidRDefault="00814B67" w:rsidP="00A21301">
      <w:pPr>
        <w:rPr>
          <w:rFonts w:ascii="Candara" w:hAnsi="Candara"/>
          <w:sz w:val="20"/>
          <w:szCs w:val="20"/>
        </w:rPr>
      </w:pPr>
    </w:p>
    <w:p w:rsidR="00814B67" w:rsidRDefault="00814B67" w:rsidP="00A21301">
      <w:pPr>
        <w:rPr>
          <w:rFonts w:ascii="Candara" w:hAnsi="Candara"/>
          <w:sz w:val="20"/>
          <w:szCs w:val="20"/>
        </w:rPr>
      </w:pPr>
      <w:r>
        <w:rPr>
          <w:rFonts w:ascii="Candara" w:hAnsi="Candara"/>
          <w:sz w:val="20"/>
          <w:szCs w:val="20"/>
        </w:rPr>
        <w:lastRenderedPageBreak/>
        <w:t>Exceptions:</w:t>
      </w:r>
    </w:p>
    <w:p w:rsidR="00814B67" w:rsidRDefault="00814B67" w:rsidP="00A21301">
      <w:pPr>
        <w:rPr>
          <w:rFonts w:ascii="Candara" w:hAnsi="Candara"/>
          <w:sz w:val="20"/>
          <w:szCs w:val="20"/>
        </w:rPr>
      </w:pPr>
      <w:r>
        <w:rPr>
          <w:rFonts w:ascii="Candara" w:hAnsi="Candara"/>
          <w:sz w:val="20"/>
          <w:szCs w:val="20"/>
        </w:rPr>
        <w:t>Section 802 of General Municipal Law (GML) contains an extensive listing of exceptions to the general rule stated in the conflict of interest policy.  Some of the most common exceptions are:</w:t>
      </w:r>
    </w:p>
    <w:p w:rsidR="00814B67" w:rsidRDefault="00814B67" w:rsidP="00814B67">
      <w:pPr>
        <w:pStyle w:val="ListParagraph"/>
        <w:numPr>
          <w:ilvl w:val="0"/>
          <w:numId w:val="5"/>
        </w:numPr>
        <w:rPr>
          <w:rFonts w:ascii="Candara" w:hAnsi="Candara"/>
          <w:sz w:val="20"/>
          <w:szCs w:val="20"/>
        </w:rPr>
      </w:pPr>
      <w:r>
        <w:rPr>
          <w:rFonts w:ascii="Candara" w:hAnsi="Candara"/>
          <w:sz w:val="20"/>
          <w:szCs w:val="20"/>
        </w:rPr>
        <w:t>The designation of a bank or trust company as a depository, paying agent, registration agent or for investment of funds of a municipality except when the chief fiscal officer, treasurer, or his deputy or employee, has an interest in such a bank or trust company; provided however, that where designation of a bank or trust company outside the municipality would be required because of the foregoing restriction, a bank or trust company within the municipality may nevertheless be so designated.</w:t>
      </w:r>
    </w:p>
    <w:p w:rsidR="00814B67" w:rsidRDefault="00814B67" w:rsidP="00814B67">
      <w:pPr>
        <w:pStyle w:val="ListParagraph"/>
        <w:numPr>
          <w:ilvl w:val="0"/>
          <w:numId w:val="5"/>
        </w:numPr>
        <w:rPr>
          <w:rFonts w:ascii="Candara" w:hAnsi="Candara"/>
          <w:sz w:val="20"/>
          <w:szCs w:val="20"/>
        </w:rPr>
      </w:pPr>
      <w:r>
        <w:rPr>
          <w:rFonts w:ascii="Candara" w:hAnsi="Candara"/>
          <w:sz w:val="20"/>
          <w:szCs w:val="20"/>
        </w:rPr>
        <w:t>Where the board member’s compensation will not be directly affected as a result of the contract and his or her duties do not directly involve procurement or performance of any part of the contract.</w:t>
      </w:r>
    </w:p>
    <w:p w:rsidR="00814B67" w:rsidRDefault="00814B67" w:rsidP="00814B67">
      <w:pPr>
        <w:pStyle w:val="ListParagraph"/>
        <w:numPr>
          <w:ilvl w:val="0"/>
          <w:numId w:val="5"/>
        </w:numPr>
        <w:rPr>
          <w:rFonts w:ascii="Candara" w:hAnsi="Candara"/>
          <w:sz w:val="20"/>
          <w:szCs w:val="20"/>
        </w:rPr>
      </w:pPr>
      <w:r>
        <w:rPr>
          <w:rFonts w:ascii="Candara" w:hAnsi="Candara"/>
          <w:sz w:val="20"/>
          <w:szCs w:val="20"/>
        </w:rPr>
        <w:t>Designation of an official newspaper to publish notices required by law.</w:t>
      </w:r>
    </w:p>
    <w:p w:rsidR="00814B67" w:rsidRDefault="00814B67" w:rsidP="00814B67">
      <w:pPr>
        <w:pStyle w:val="ListParagraph"/>
        <w:numPr>
          <w:ilvl w:val="0"/>
          <w:numId w:val="5"/>
        </w:numPr>
        <w:rPr>
          <w:rFonts w:ascii="Candara" w:hAnsi="Candara"/>
          <w:sz w:val="20"/>
          <w:szCs w:val="20"/>
        </w:rPr>
      </w:pPr>
      <w:r>
        <w:rPr>
          <w:rFonts w:ascii="Candara" w:hAnsi="Candara"/>
          <w:sz w:val="20"/>
          <w:szCs w:val="20"/>
        </w:rPr>
        <w:t>Contract with a voluntary non-profit corporation or association.</w:t>
      </w:r>
    </w:p>
    <w:p w:rsidR="00814B67" w:rsidRDefault="00814B67" w:rsidP="00814B67">
      <w:pPr>
        <w:pStyle w:val="ListParagraph"/>
        <w:numPr>
          <w:ilvl w:val="0"/>
          <w:numId w:val="5"/>
        </w:numPr>
        <w:rPr>
          <w:rFonts w:ascii="Candara" w:hAnsi="Candara"/>
          <w:sz w:val="20"/>
          <w:szCs w:val="20"/>
        </w:rPr>
      </w:pPr>
      <w:r>
        <w:rPr>
          <w:rFonts w:ascii="Candara" w:hAnsi="Candara"/>
          <w:sz w:val="20"/>
          <w:szCs w:val="20"/>
        </w:rPr>
        <w:t>Contract which a board member entered into prior to that person’s election to the board (renewal of the contract is not excluded).</w:t>
      </w:r>
    </w:p>
    <w:p w:rsidR="00814B67" w:rsidRDefault="00814B67" w:rsidP="00814B67">
      <w:pPr>
        <w:pStyle w:val="ListParagraph"/>
        <w:numPr>
          <w:ilvl w:val="0"/>
          <w:numId w:val="5"/>
        </w:numPr>
        <w:rPr>
          <w:rFonts w:ascii="Candara" w:hAnsi="Candara"/>
          <w:sz w:val="20"/>
          <w:szCs w:val="20"/>
        </w:rPr>
      </w:pPr>
      <w:r>
        <w:rPr>
          <w:rFonts w:ascii="Candara" w:hAnsi="Candara"/>
          <w:sz w:val="20"/>
          <w:szCs w:val="20"/>
        </w:rPr>
        <w:t>Contract with a corporation in which the member owns or controls less than 5% of the outstanding stock.</w:t>
      </w:r>
    </w:p>
    <w:p w:rsidR="00814B67" w:rsidRDefault="00814B67" w:rsidP="00814B67">
      <w:pPr>
        <w:pStyle w:val="ListParagraph"/>
        <w:numPr>
          <w:ilvl w:val="0"/>
          <w:numId w:val="5"/>
        </w:numPr>
        <w:rPr>
          <w:rFonts w:ascii="Candara" w:hAnsi="Candara"/>
          <w:sz w:val="20"/>
          <w:szCs w:val="20"/>
        </w:rPr>
      </w:pPr>
      <w:r>
        <w:rPr>
          <w:rFonts w:ascii="Candara" w:hAnsi="Candara"/>
          <w:sz w:val="20"/>
          <w:szCs w:val="20"/>
        </w:rPr>
        <w:t>Contract with a board member if total consideration paid under all contracts during the fiscal year does not exceed $750.</w:t>
      </w:r>
    </w:p>
    <w:p w:rsidR="00814B67" w:rsidRDefault="00814B67" w:rsidP="00814B67">
      <w:pPr>
        <w:rPr>
          <w:rFonts w:ascii="Candara" w:hAnsi="Candara"/>
          <w:sz w:val="20"/>
          <w:szCs w:val="20"/>
        </w:rPr>
      </w:pPr>
    </w:p>
    <w:p w:rsidR="00814B67" w:rsidRPr="00814B67" w:rsidRDefault="00814B67" w:rsidP="00814B67">
      <w:pPr>
        <w:rPr>
          <w:rFonts w:ascii="Candara" w:hAnsi="Candara"/>
          <w:sz w:val="20"/>
          <w:szCs w:val="20"/>
        </w:rPr>
      </w:pPr>
      <w:r>
        <w:rPr>
          <w:rFonts w:ascii="Candara" w:hAnsi="Candara"/>
          <w:sz w:val="20"/>
          <w:szCs w:val="20"/>
        </w:rPr>
        <w:t>Section 802 of GML should be checked each year to identify any newly added exceptions.</w:t>
      </w:r>
    </w:p>
    <w:p w:rsidR="00A21301" w:rsidRDefault="00A21301" w:rsidP="00A21301">
      <w:pPr>
        <w:jc w:val="right"/>
        <w:rPr>
          <w:rFonts w:ascii="Candara" w:hAnsi="Candara"/>
          <w:sz w:val="20"/>
          <w:szCs w:val="20"/>
        </w:rPr>
      </w:pPr>
      <w:r>
        <w:rPr>
          <w:rFonts w:ascii="Candara" w:hAnsi="Candara"/>
          <w:sz w:val="20"/>
          <w:szCs w:val="20"/>
        </w:rPr>
        <w:t>Approved at Annual Meeting 2/12/2015</w:t>
      </w:r>
    </w:p>
    <w:p w:rsidR="00306DF0" w:rsidRDefault="00306DF0" w:rsidP="00A21301">
      <w:pPr>
        <w:jc w:val="right"/>
        <w:rPr>
          <w:rFonts w:ascii="Candara" w:hAnsi="Candara"/>
          <w:sz w:val="20"/>
          <w:szCs w:val="20"/>
        </w:rPr>
      </w:pPr>
    </w:p>
    <w:p w:rsidR="00306DF0" w:rsidRDefault="00306DF0" w:rsidP="00A21301">
      <w:pPr>
        <w:jc w:val="right"/>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306DF0" w:rsidRDefault="00306DF0" w:rsidP="00306DF0">
      <w:pPr>
        <w:rPr>
          <w:rFonts w:ascii="Candara" w:hAnsi="Candara"/>
          <w:sz w:val="20"/>
          <w:szCs w:val="20"/>
        </w:rPr>
      </w:pPr>
    </w:p>
    <w:p w:rsidR="00A21301" w:rsidRDefault="00A21301" w:rsidP="00A21301">
      <w:pPr>
        <w:jc w:val="center"/>
        <w:rPr>
          <w:rFonts w:ascii="Candara" w:hAnsi="Candara"/>
          <w:b/>
          <w:sz w:val="28"/>
          <w:szCs w:val="28"/>
        </w:rPr>
      </w:pPr>
      <w:r>
        <w:rPr>
          <w:rFonts w:ascii="Candara" w:hAnsi="Candara"/>
          <w:b/>
          <w:sz w:val="28"/>
          <w:szCs w:val="28"/>
        </w:rPr>
        <w:lastRenderedPageBreak/>
        <w:t>Old Forge Library</w:t>
      </w:r>
    </w:p>
    <w:p w:rsidR="00A21301" w:rsidRDefault="00A21301" w:rsidP="00A21301">
      <w:pPr>
        <w:jc w:val="center"/>
        <w:rPr>
          <w:rFonts w:ascii="Candara" w:hAnsi="Candara"/>
          <w:b/>
          <w:sz w:val="28"/>
          <w:szCs w:val="28"/>
        </w:rPr>
      </w:pPr>
      <w:r>
        <w:rPr>
          <w:rFonts w:ascii="Candara" w:hAnsi="Candara"/>
          <w:b/>
          <w:sz w:val="28"/>
          <w:szCs w:val="28"/>
        </w:rPr>
        <w:t>CONFLICT OF INTEREST DISCLOSURE FORM</w:t>
      </w:r>
    </w:p>
    <w:p w:rsidR="00A21301" w:rsidRDefault="00A21301" w:rsidP="00A21301">
      <w:pPr>
        <w:jc w:val="center"/>
        <w:rPr>
          <w:rFonts w:ascii="Candara" w:hAnsi="Candara"/>
          <w:b/>
          <w:sz w:val="28"/>
          <w:szCs w:val="28"/>
        </w:rPr>
      </w:pPr>
    </w:p>
    <w:p w:rsidR="00A21301" w:rsidRPr="00A21301" w:rsidRDefault="00A21301" w:rsidP="00A21301">
      <w:pPr>
        <w:rPr>
          <w:rFonts w:ascii="Candara" w:hAnsi="Candara"/>
          <w:sz w:val="20"/>
          <w:szCs w:val="20"/>
        </w:rPr>
      </w:pPr>
      <w:r w:rsidRPr="00A21301">
        <w:rPr>
          <w:rFonts w:ascii="Candara" w:hAnsi="Candara"/>
          <w:sz w:val="20"/>
          <w:szCs w:val="20"/>
        </w:rPr>
        <w:t>The New York Attorney General has issued guidance for directors of not-for-profit corporations recommending disclosure of certain interests.  The Internal Revenue Service and Sarbanes-Oxley also make these recommendations while the Nonprofit Revitalization Act of 2013 legislates what was once guidance.  To comply with these recommendations and legislation, as part of the annual audit of the Old Forge Library, all Trustees, purchasers, administrators, and the treasurer are required to complete this form to disclose any actual or potential conflicts of interest as outlined by the Old Forge Library’s Conflict of Interest Policy, adopted 02/12/2015.</w:t>
      </w:r>
    </w:p>
    <w:p w:rsidR="00A21301" w:rsidRPr="00A21301" w:rsidRDefault="00A21301" w:rsidP="00A21301">
      <w:pPr>
        <w:rPr>
          <w:rFonts w:ascii="Candara" w:hAnsi="Candara"/>
          <w:sz w:val="20"/>
          <w:szCs w:val="20"/>
        </w:rPr>
      </w:pPr>
      <w:r w:rsidRPr="00A21301">
        <w:rPr>
          <w:rFonts w:ascii="Candara" w:hAnsi="Candara"/>
          <w:sz w:val="20"/>
          <w:szCs w:val="20"/>
        </w:rPr>
        <w:t>It is important to consider the following:</w:t>
      </w:r>
    </w:p>
    <w:p w:rsidR="00A21301" w:rsidRPr="00A21301" w:rsidRDefault="00A21301" w:rsidP="00A21301">
      <w:pPr>
        <w:pStyle w:val="ListParagraph"/>
        <w:numPr>
          <w:ilvl w:val="0"/>
          <w:numId w:val="3"/>
        </w:numPr>
        <w:rPr>
          <w:rFonts w:ascii="Candara" w:hAnsi="Candara"/>
          <w:sz w:val="20"/>
          <w:szCs w:val="20"/>
        </w:rPr>
      </w:pPr>
      <w:r w:rsidRPr="00A21301">
        <w:rPr>
          <w:rFonts w:ascii="Candara" w:hAnsi="Candara"/>
          <w:sz w:val="20"/>
          <w:szCs w:val="20"/>
        </w:rPr>
        <w:t xml:space="preserve">Many conflicts that are properly disclosed can be adequately managed without detriment to the reputation </w:t>
      </w:r>
      <w:proofErr w:type="spellStart"/>
      <w:r w:rsidRPr="00A21301">
        <w:rPr>
          <w:rFonts w:ascii="Candara" w:hAnsi="Candara"/>
          <w:sz w:val="20"/>
          <w:szCs w:val="20"/>
        </w:rPr>
        <w:t>or</w:t>
      </w:r>
      <w:proofErr w:type="spellEnd"/>
      <w:r w:rsidRPr="00A21301">
        <w:rPr>
          <w:rFonts w:ascii="Candara" w:hAnsi="Candara"/>
          <w:sz w:val="20"/>
          <w:szCs w:val="20"/>
        </w:rPr>
        <w:t xml:space="preserve"> integrity of the Old Forge Library or the individual.</w:t>
      </w:r>
    </w:p>
    <w:p w:rsidR="00A21301" w:rsidRPr="00A21301" w:rsidRDefault="00A21301" w:rsidP="00A21301">
      <w:pPr>
        <w:pStyle w:val="ListParagraph"/>
        <w:numPr>
          <w:ilvl w:val="0"/>
          <w:numId w:val="3"/>
        </w:numPr>
        <w:rPr>
          <w:rFonts w:ascii="Candara" w:hAnsi="Candara"/>
          <w:sz w:val="20"/>
          <w:szCs w:val="20"/>
        </w:rPr>
      </w:pPr>
      <w:r w:rsidRPr="00A21301">
        <w:rPr>
          <w:rFonts w:ascii="Candara" w:hAnsi="Candara"/>
          <w:sz w:val="20"/>
          <w:szCs w:val="20"/>
        </w:rPr>
        <w:t>In most cases, problems associated with actual or perceived conflicts of interest or commitment do not arise from the conflicts, per se, but rather from the failure to openly acknowledge and actively manage them.</w:t>
      </w:r>
    </w:p>
    <w:p w:rsidR="00A21301" w:rsidRDefault="00A21301" w:rsidP="00A21301">
      <w:pPr>
        <w:pStyle w:val="ListParagraph"/>
        <w:numPr>
          <w:ilvl w:val="0"/>
          <w:numId w:val="3"/>
        </w:numPr>
        <w:rPr>
          <w:rFonts w:ascii="Candara" w:hAnsi="Candara"/>
          <w:sz w:val="20"/>
          <w:szCs w:val="20"/>
        </w:rPr>
      </w:pPr>
      <w:r w:rsidRPr="00A21301">
        <w:rPr>
          <w:rFonts w:ascii="Candara" w:hAnsi="Candara"/>
          <w:sz w:val="20"/>
          <w:szCs w:val="20"/>
        </w:rPr>
        <w:t>The Finance/ Audit Committee will review the disclosure forms annually.  If formal action is necessary as a result of the review, the Finance/Audit Committee will present a recommended action to the Board of Trustees.</w:t>
      </w:r>
    </w:p>
    <w:p w:rsidR="00A21301" w:rsidRDefault="00A21301" w:rsidP="00A21301">
      <w:pPr>
        <w:rPr>
          <w:rFonts w:ascii="Candara" w:hAnsi="Candara"/>
          <w:sz w:val="24"/>
          <w:szCs w:val="24"/>
          <w:u w:val="single"/>
        </w:rPr>
      </w:pPr>
      <w:r>
        <w:rPr>
          <w:rFonts w:ascii="Candara" w:hAnsi="Candara"/>
          <w:sz w:val="24"/>
          <w:szCs w:val="24"/>
          <w:u w:val="single"/>
        </w:rPr>
        <w:t>DISCLOSURE</w:t>
      </w:r>
    </w:p>
    <w:p w:rsidR="00A21301" w:rsidRDefault="00E258E0" w:rsidP="00A21301">
      <w:pPr>
        <w:rPr>
          <w:rFonts w:ascii="Candara" w:hAnsi="Candara"/>
          <w:sz w:val="24"/>
          <w:szCs w:val="24"/>
        </w:rPr>
      </w:pPr>
      <w:r>
        <w:rPr>
          <w:rFonts w:ascii="Candara" w:hAnsi="Candara"/>
          <w:sz w:val="24"/>
          <w:szCs w:val="24"/>
        </w:rPr>
        <w:t>I hereby state that I have the following affiliation(s) or interest(s) that could constitute a conflict of interest:</w:t>
      </w:r>
    </w:p>
    <w:p w:rsidR="00E258E0" w:rsidRDefault="00E258E0" w:rsidP="00A21301">
      <w:pPr>
        <w:rPr>
          <w:rFonts w:ascii="Candara" w:hAnsi="Candara"/>
          <w:sz w:val="24"/>
          <w:szCs w:val="24"/>
        </w:rPr>
      </w:pPr>
      <w:r>
        <w:rPr>
          <w:rFonts w:ascii="Candara" w:hAnsi="Candara"/>
          <w:sz w:val="24"/>
          <w:szCs w:val="24"/>
        </w:rPr>
        <w:tab/>
      </w:r>
      <w:r w:rsidRPr="00E258E0">
        <w:rPr>
          <w:rFonts w:ascii="Candara" w:hAnsi="Candara"/>
          <w:sz w:val="24"/>
          <w:szCs w:val="24"/>
          <w:u w:val="single"/>
        </w:rPr>
        <w:t>Entity Name</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sidRPr="00E258E0">
        <w:rPr>
          <w:rFonts w:ascii="Candara" w:hAnsi="Candara"/>
          <w:sz w:val="24"/>
          <w:szCs w:val="24"/>
          <w:u w:val="single"/>
        </w:rPr>
        <w:t>Affiliation with entity</w:t>
      </w:r>
    </w:p>
    <w:p w:rsidR="00E258E0" w:rsidRDefault="00E258E0" w:rsidP="00E258E0">
      <w:pPr>
        <w:pStyle w:val="ListParagraph"/>
        <w:numPr>
          <w:ilvl w:val="0"/>
          <w:numId w:val="4"/>
        </w:numPr>
        <w:rPr>
          <w:rFonts w:ascii="Candara" w:hAnsi="Candara"/>
          <w:sz w:val="24"/>
          <w:szCs w:val="24"/>
        </w:rPr>
      </w:pPr>
      <w:r>
        <w:rPr>
          <w:rFonts w:ascii="Candara" w:hAnsi="Candara"/>
          <w:sz w:val="24"/>
          <w:szCs w:val="24"/>
        </w:rPr>
        <w:t>____________________________________________________________________</w:t>
      </w:r>
    </w:p>
    <w:p w:rsidR="00E258E0" w:rsidRDefault="00E258E0" w:rsidP="00E258E0">
      <w:pPr>
        <w:pStyle w:val="ListParagraph"/>
        <w:numPr>
          <w:ilvl w:val="0"/>
          <w:numId w:val="4"/>
        </w:numPr>
        <w:rPr>
          <w:rFonts w:ascii="Candara" w:hAnsi="Candara"/>
          <w:sz w:val="24"/>
          <w:szCs w:val="24"/>
        </w:rPr>
      </w:pPr>
      <w:r>
        <w:rPr>
          <w:rFonts w:ascii="Candara" w:hAnsi="Candara"/>
          <w:sz w:val="24"/>
          <w:szCs w:val="24"/>
        </w:rPr>
        <w:t>____________________________________________________________________</w:t>
      </w:r>
    </w:p>
    <w:p w:rsidR="00D14397" w:rsidRDefault="00E258E0" w:rsidP="00D14397">
      <w:pPr>
        <w:pStyle w:val="ListParagraph"/>
        <w:numPr>
          <w:ilvl w:val="0"/>
          <w:numId w:val="4"/>
        </w:numPr>
        <w:rPr>
          <w:rFonts w:ascii="Candara" w:hAnsi="Candara"/>
          <w:sz w:val="24"/>
          <w:szCs w:val="24"/>
        </w:rPr>
      </w:pPr>
      <w:r>
        <w:rPr>
          <w:rFonts w:ascii="Candara" w:hAnsi="Candara"/>
          <w:sz w:val="24"/>
          <w:szCs w:val="24"/>
        </w:rPr>
        <w:t>____________________________________________________________________</w:t>
      </w:r>
    </w:p>
    <w:p w:rsidR="00E258E0" w:rsidRDefault="00E258E0" w:rsidP="00D14397">
      <w:pPr>
        <w:pStyle w:val="ListParagraph"/>
        <w:numPr>
          <w:ilvl w:val="0"/>
          <w:numId w:val="4"/>
        </w:numPr>
        <w:rPr>
          <w:rFonts w:ascii="Candara" w:hAnsi="Candara"/>
          <w:sz w:val="24"/>
          <w:szCs w:val="24"/>
        </w:rPr>
      </w:pPr>
      <w:r>
        <w:rPr>
          <w:rFonts w:ascii="Candara" w:hAnsi="Candara"/>
          <w:sz w:val="24"/>
          <w:szCs w:val="24"/>
        </w:rPr>
        <w:t>____________________________________________________________________</w:t>
      </w:r>
    </w:p>
    <w:p w:rsidR="00E258E0" w:rsidRDefault="00E258E0" w:rsidP="00E258E0">
      <w:pPr>
        <w:rPr>
          <w:rFonts w:ascii="Candara" w:hAnsi="Candara"/>
          <w:sz w:val="24"/>
          <w:szCs w:val="24"/>
        </w:rPr>
      </w:pPr>
    </w:p>
    <w:p w:rsidR="00E258E0" w:rsidRDefault="00E258E0" w:rsidP="00E258E0">
      <w:pPr>
        <w:rPr>
          <w:rFonts w:ascii="Candara" w:hAnsi="Candara"/>
          <w:sz w:val="24"/>
          <w:szCs w:val="24"/>
        </w:rPr>
      </w:pPr>
      <w:r>
        <w:rPr>
          <w:rFonts w:ascii="Candara" w:hAnsi="Candara"/>
          <w:sz w:val="24"/>
          <w:szCs w:val="24"/>
        </w:rPr>
        <w:t>Printed name: _____________________________________________</w:t>
      </w:r>
    </w:p>
    <w:p w:rsidR="00E258E0" w:rsidRDefault="00E258E0" w:rsidP="00E258E0">
      <w:pPr>
        <w:rPr>
          <w:rFonts w:ascii="Candara" w:hAnsi="Candara"/>
          <w:sz w:val="24"/>
          <w:szCs w:val="24"/>
        </w:rPr>
      </w:pPr>
      <w:r>
        <w:rPr>
          <w:rFonts w:ascii="Candara" w:hAnsi="Candara"/>
          <w:sz w:val="24"/>
          <w:szCs w:val="24"/>
        </w:rPr>
        <w:t>Signature: ________________________________________________</w:t>
      </w:r>
    </w:p>
    <w:p w:rsidR="00E258E0" w:rsidRDefault="00E258E0" w:rsidP="00E258E0">
      <w:pPr>
        <w:rPr>
          <w:rFonts w:ascii="Candara" w:hAnsi="Candara"/>
          <w:sz w:val="24"/>
          <w:szCs w:val="24"/>
        </w:rPr>
      </w:pPr>
      <w:r>
        <w:rPr>
          <w:rFonts w:ascii="Candara" w:hAnsi="Candara"/>
          <w:sz w:val="24"/>
          <w:szCs w:val="24"/>
        </w:rPr>
        <w:t>Date: _______________________</w:t>
      </w:r>
    </w:p>
    <w:p w:rsidR="00E258E0" w:rsidRPr="00E258E0" w:rsidRDefault="00E258E0" w:rsidP="00E258E0">
      <w:pPr>
        <w:jc w:val="right"/>
        <w:rPr>
          <w:rFonts w:ascii="Candara" w:hAnsi="Candara"/>
          <w:sz w:val="18"/>
          <w:szCs w:val="18"/>
        </w:rPr>
      </w:pP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18"/>
          <w:szCs w:val="18"/>
        </w:rPr>
        <w:t>Approved: 02/12/2015</w:t>
      </w:r>
    </w:p>
    <w:sectPr w:rsidR="00E258E0" w:rsidRPr="00E25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628"/>
    <w:multiLevelType w:val="hybridMultilevel"/>
    <w:tmpl w:val="F0AE0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719F4"/>
    <w:multiLevelType w:val="hybridMultilevel"/>
    <w:tmpl w:val="CB12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D3326"/>
    <w:multiLevelType w:val="hybridMultilevel"/>
    <w:tmpl w:val="66761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061E4"/>
    <w:multiLevelType w:val="hybridMultilevel"/>
    <w:tmpl w:val="62B89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81128"/>
    <w:multiLevelType w:val="hybridMultilevel"/>
    <w:tmpl w:val="D7C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97"/>
    <w:rsid w:val="001834F7"/>
    <w:rsid w:val="002173FE"/>
    <w:rsid w:val="00306DF0"/>
    <w:rsid w:val="00814B67"/>
    <w:rsid w:val="00A21301"/>
    <w:rsid w:val="00CE2919"/>
    <w:rsid w:val="00D14397"/>
    <w:rsid w:val="00E2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447E0-F3E3-4F18-AA2B-C822EE7C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Ehrensbeck</dc:creator>
  <cp:lastModifiedBy>HP Inc.</cp:lastModifiedBy>
  <cp:revision>2</cp:revision>
  <dcterms:created xsi:type="dcterms:W3CDTF">2019-05-02T22:15:00Z</dcterms:created>
  <dcterms:modified xsi:type="dcterms:W3CDTF">2019-05-02T22:15:00Z</dcterms:modified>
</cp:coreProperties>
</file>